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E04B15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M&amp;O Transition Management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E04B15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M&amp;O Transition Management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  <w:bookmarkStart w:id="0" w:name="_GoBack"/>
      <w:bookmarkEnd w:id="0"/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E95EE6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4417721" w:history="1">
        <w:r w:rsidR="00E95EE6" w:rsidRPr="00E77914">
          <w:rPr>
            <w:rStyle w:val="Hyperlink"/>
            <w:noProof/>
          </w:rPr>
          <w:t>1</w:t>
        </w:r>
        <w:r w:rsidR="00E95EE6">
          <w:rPr>
            <w:rFonts w:eastAsiaTheme="minorEastAsia"/>
            <w:b w:val="0"/>
            <w:noProof/>
            <w:color w:val="auto"/>
            <w:sz w:val="22"/>
          </w:rPr>
          <w:tab/>
        </w:r>
        <w:r w:rsidR="00E95EE6" w:rsidRPr="00E77914">
          <w:rPr>
            <w:rStyle w:val="Hyperlink"/>
            <w:noProof/>
          </w:rPr>
          <w:t>Introduction</w:t>
        </w:r>
        <w:r w:rsidR="00E95EE6">
          <w:rPr>
            <w:noProof/>
            <w:webHidden/>
          </w:rPr>
          <w:tab/>
        </w:r>
        <w:r w:rsidR="00E95EE6">
          <w:rPr>
            <w:noProof/>
            <w:webHidden/>
          </w:rPr>
          <w:fldChar w:fldCharType="begin"/>
        </w:r>
        <w:r w:rsidR="00E95EE6">
          <w:rPr>
            <w:noProof/>
            <w:webHidden/>
          </w:rPr>
          <w:instrText xml:space="preserve"> PAGEREF _Toc474417721 \h </w:instrText>
        </w:r>
        <w:r w:rsidR="00E95EE6">
          <w:rPr>
            <w:noProof/>
            <w:webHidden/>
          </w:rPr>
        </w:r>
        <w:r w:rsidR="00E95EE6">
          <w:rPr>
            <w:noProof/>
            <w:webHidden/>
          </w:rPr>
          <w:fldChar w:fldCharType="separate"/>
        </w:r>
        <w:r w:rsidR="00E95EE6">
          <w:rPr>
            <w:noProof/>
            <w:webHidden/>
          </w:rPr>
          <w:t>4</w:t>
        </w:r>
        <w:r w:rsidR="00E95EE6">
          <w:rPr>
            <w:noProof/>
            <w:webHidden/>
          </w:rPr>
          <w:fldChar w:fldCharType="end"/>
        </w:r>
      </w:hyperlink>
    </w:p>
    <w:p w:rsidR="00E95EE6" w:rsidRDefault="00E95EE6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74417722" w:history="1">
        <w:r w:rsidRPr="00E77914">
          <w:rPr>
            <w:rStyle w:val="Hyperlink"/>
            <w:noProof/>
          </w:rPr>
          <w:t>2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E77914">
          <w:rPr>
            <w:rStyle w:val="Hyperlink"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_Toc474417722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95EE6" w:rsidRDefault="00E95EE6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74417723" w:history="1">
        <w:r w:rsidRPr="00E77914">
          <w:rPr>
            <w:rStyle w:val="Hyperlink"/>
            <w:noProof/>
          </w:rPr>
          <w:t>3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E77914">
          <w:rPr>
            <w:rStyle w:val="Hyperlink"/>
            <w:noProof/>
          </w:rPr>
          <w:t>M&amp;O Transition Management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_Toc474417723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95EE6" w:rsidRDefault="00E95EE6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74417724" w:history="1">
        <w:r w:rsidRPr="00E77914">
          <w:rPr>
            <w:rStyle w:val="Hyperlink"/>
            <w:noProof/>
          </w:rPr>
          <w:t>4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E77914">
          <w:rPr>
            <w:rStyle w:val="Hyperlink"/>
            <w:noProof/>
          </w:rPr>
          <w:t>Recommended Practices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_Toc474417724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95EE6" w:rsidRDefault="00E95EE6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74417725" w:history="1">
        <w:r w:rsidRPr="00E77914">
          <w:rPr>
            <w:rStyle w:val="Hyperlink"/>
            <w:noProof/>
          </w:rPr>
          <w:t>5</w:t>
        </w:r>
        <w:r>
          <w:rPr>
            <w:rFonts w:eastAsiaTheme="minorEastAsia"/>
            <w:b w:val="0"/>
            <w:noProof/>
            <w:color w:val="auto"/>
            <w:sz w:val="22"/>
          </w:rPr>
          <w:tab/>
        </w:r>
        <w:r w:rsidRPr="00E77914">
          <w:rPr>
            <w:rStyle w:val="Hyperlink"/>
            <w:noProof/>
          </w:rPr>
          <w:t>Completion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_Toc474417725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</w:p>
    <w:p w:rsidR="008A6EF0" w:rsidRDefault="008A6EF0" w:rsidP="008A6EF0">
      <w:r>
        <w:br w:type="page"/>
      </w:r>
    </w:p>
    <w:p w:rsidR="00E04B15" w:rsidRDefault="006E5E89" w:rsidP="008A6EF0">
      <w:r w:rsidRPr="006E5E89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6E5E89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</w:t>
      </w:r>
      <w:r w:rsidR="006E5E89">
        <w:t>cess the Project Sample Library.</w:t>
      </w:r>
    </w:p>
    <w:p w:rsidR="006E5E89" w:rsidRPr="00EA61CC" w:rsidRDefault="006E5E89" w:rsidP="006E5E89">
      <w:pPr>
        <w:pStyle w:val="Heading1"/>
      </w:pPr>
      <w:bookmarkStart w:id="1" w:name="_Toc474417721"/>
      <w:r w:rsidRPr="00EA61CC">
        <w:t>Introduction</w:t>
      </w:r>
      <w:bookmarkEnd w:id="1"/>
    </w:p>
    <w:p w:rsidR="006E5E89" w:rsidRDefault="006E5E89" w:rsidP="008A6EF0">
      <w:r w:rsidRPr="006E5E89">
        <w:t>[Provide a high-level summary of the project purpose and objectives to introduce the reader to the project, thus providing some project context and background. Describe how the project will approach M&amp;O transition management planning, including any assumptions and constraints. Describe the processes and activities for managing project transition to maintenance and operations by outlining the steps necessary for a successful transition. Reference the Planning Chapter in the CA-PMF for additional information.]</w:t>
      </w:r>
      <w:bookmarkStart w:id="2" w:name="_Toc448929957"/>
      <w:bookmarkStart w:id="3" w:name="_Toc448933969"/>
    </w:p>
    <w:p w:rsidR="008A6EF0" w:rsidRPr="00EA61CC" w:rsidRDefault="008A6EF0" w:rsidP="008A6EF0">
      <w:pPr>
        <w:pStyle w:val="Heading1"/>
      </w:pPr>
      <w:bookmarkStart w:id="4" w:name="_Toc474417722"/>
      <w:r w:rsidRPr="00EA61CC">
        <w:t>Roles and Responsibilities</w:t>
      </w:r>
      <w:bookmarkEnd w:id="2"/>
      <w:bookmarkEnd w:id="3"/>
      <w:bookmarkEnd w:id="4"/>
    </w:p>
    <w:p w:rsidR="006E5E89" w:rsidRPr="006E5E89" w:rsidRDefault="00E04B15" w:rsidP="00E04B15">
      <w:bookmarkStart w:id="5" w:name="_Toc448929958"/>
      <w:bookmarkStart w:id="6" w:name="_Toc448933970"/>
      <w:r>
        <w:t>[In the Roles and Responsibilities section of your M&amp;O Transition Management Plan, identify who, their role, and the corresponding responsibility for each role. Reference the Planning Chapter in the CA-PMF for additional information.]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E04B15" w:rsidRPr="0030427C" w:rsidTr="0065085F">
        <w:trPr>
          <w:trHeight w:val="432"/>
          <w:tblHeader/>
        </w:trPr>
        <w:tc>
          <w:tcPr>
            <w:tcW w:w="2337" w:type="dxa"/>
            <w:shd w:val="clear" w:color="auto" w:fill="1B4675"/>
            <w:vAlign w:val="center"/>
          </w:tcPr>
          <w:p w:rsidR="00E04B15" w:rsidRPr="0030427C" w:rsidRDefault="00E04B15" w:rsidP="0065085F">
            <w:pPr>
              <w:pStyle w:val="TableHeaderText"/>
            </w:pPr>
            <w:r>
              <w:t>Name</w:t>
            </w:r>
          </w:p>
        </w:tc>
        <w:tc>
          <w:tcPr>
            <w:tcW w:w="2337" w:type="dxa"/>
            <w:shd w:val="clear" w:color="auto" w:fill="1B4675"/>
            <w:vAlign w:val="center"/>
          </w:tcPr>
          <w:p w:rsidR="00E04B15" w:rsidRPr="0030427C" w:rsidRDefault="00E04B15" w:rsidP="0065085F">
            <w:pPr>
              <w:pStyle w:val="TableHeaderText"/>
            </w:pPr>
            <w:r>
              <w:t>Role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E04B15" w:rsidRPr="0030427C" w:rsidRDefault="00E04B15" w:rsidP="0065085F">
            <w:pPr>
              <w:pStyle w:val="TableHeaderText"/>
            </w:pPr>
            <w:r>
              <w:t>Responsibility</w:t>
            </w:r>
          </w:p>
        </w:tc>
      </w:tr>
      <w:tr w:rsidR="00E04B15" w:rsidRPr="0030427C" w:rsidTr="0065085F">
        <w:trPr>
          <w:trHeight w:val="432"/>
        </w:trPr>
        <w:tc>
          <w:tcPr>
            <w:tcW w:w="2337" w:type="dxa"/>
          </w:tcPr>
          <w:p w:rsidR="00E04B15" w:rsidRPr="00E95EE6" w:rsidRDefault="00E04B15" w:rsidP="0065085F"/>
        </w:tc>
        <w:tc>
          <w:tcPr>
            <w:tcW w:w="2337" w:type="dxa"/>
          </w:tcPr>
          <w:p w:rsidR="00E04B15" w:rsidRPr="00E95EE6" w:rsidRDefault="00E04B15" w:rsidP="0065085F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676" w:type="dxa"/>
          </w:tcPr>
          <w:p w:rsidR="00E04B15" w:rsidRPr="00E95EE6" w:rsidRDefault="00E04B15" w:rsidP="006E5E89">
            <w:pPr>
              <w:spacing w:after="60" w:line="276" w:lineRule="auto"/>
              <w:ind w:left="360"/>
              <w:rPr>
                <w:rFonts w:ascii="Calibri" w:hAnsi="Calibri"/>
              </w:rPr>
            </w:pPr>
          </w:p>
        </w:tc>
      </w:tr>
      <w:tr w:rsidR="00E04B15" w:rsidRPr="0030427C" w:rsidTr="0065085F">
        <w:trPr>
          <w:trHeight w:val="432"/>
        </w:trPr>
        <w:tc>
          <w:tcPr>
            <w:tcW w:w="2337" w:type="dxa"/>
          </w:tcPr>
          <w:p w:rsidR="00E04B15" w:rsidRPr="00E95EE6" w:rsidRDefault="00E04B15" w:rsidP="0065085F"/>
        </w:tc>
        <w:tc>
          <w:tcPr>
            <w:tcW w:w="2337" w:type="dxa"/>
          </w:tcPr>
          <w:p w:rsidR="00E04B15" w:rsidRPr="00E95EE6" w:rsidRDefault="00E04B15" w:rsidP="0065085F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676" w:type="dxa"/>
          </w:tcPr>
          <w:p w:rsidR="00E04B15" w:rsidRPr="00E95EE6" w:rsidRDefault="00E04B15" w:rsidP="006E5E89">
            <w:pPr>
              <w:spacing w:after="60" w:line="276" w:lineRule="auto"/>
              <w:ind w:left="360"/>
              <w:contextualSpacing/>
              <w:rPr>
                <w:rFonts w:ascii="Calibri" w:hAnsi="Calibri"/>
              </w:rPr>
            </w:pPr>
          </w:p>
        </w:tc>
      </w:tr>
      <w:tr w:rsidR="00E04B15" w:rsidRPr="0030427C" w:rsidTr="0065085F">
        <w:trPr>
          <w:trHeight w:val="432"/>
        </w:trPr>
        <w:tc>
          <w:tcPr>
            <w:tcW w:w="2337" w:type="dxa"/>
          </w:tcPr>
          <w:p w:rsidR="00E04B15" w:rsidRPr="00E95EE6" w:rsidRDefault="00E04B15" w:rsidP="0065085F"/>
        </w:tc>
        <w:tc>
          <w:tcPr>
            <w:tcW w:w="2337" w:type="dxa"/>
          </w:tcPr>
          <w:p w:rsidR="00E04B15" w:rsidRPr="00E95EE6" w:rsidRDefault="00E04B15" w:rsidP="0065085F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676" w:type="dxa"/>
          </w:tcPr>
          <w:p w:rsidR="00E04B15" w:rsidRPr="00E95EE6" w:rsidRDefault="00E04B15" w:rsidP="006E5E89">
            <w:pPr>
              <w:spacing w:after="60" w:line="276" w:lineRule="auto"/>
              <w:ind w:left="360"/>
              <w:rPr>
                <w:rFonts w:ascii="Calibri" w:hAnsi="Calibri"/>
              </w:rPr>
            </w:pPr>
          </w:p>
        </w:tc>
      </w:tr>
    </w:tbl>
    <w:p w:rsidR="008A6EF0" w:rsidRPr="00303817" w:rsidRDefault="00CA5A37" w:rsidP="008A6EF0">
      <w:pPr>
        <w:pStyle w:val="Heading1"/>
      </w:pPr>
      <w:bookmarkStart w:id="7" w:name="_Toc474417723"/>
      <w:bookmarkEnd w:id="5"/>
      <w:bookmarkEnd w:id="6"/>
      <w:r>
        <w:t>M&amp;O Transition Management Planning</w:t>
      </w:r>
      <w:bookmarkEnd w:id="7"/>
    </w:p>
    <w:p w:rsidR="00CA5A37" w:rsidRDefault="00CA5A37" w:rsidP="00CA5A37">
      <w:pPr>
        <w:pStyle w:val="BodyTextLeftJustify"/>
      </w:pPr>
      <w:bookmarkStart w:id="8" w:name="_Toc448929959"/>
      <w:bookmarkStart w:id="9" w:name="_Toc448933971"/>
      <w:r>
        <w:t>[In this section, describe the process to complete the listed M&amp;O Transition Management planning tasks.]</w:t>
      </w:r>
    </w:p>
    <w:p w:rsidR="00CA5A37" w:rsidRDefault="00CA5A37" w:rsidP="00CA5A37">
      <w:pPr>
        <w:pStyle w:val="BodyTextLeftJustify"/>
      </w:pPr>
    </w:p>
    <w:p w:rsidR="00CA5A37" w:rsidRDefault="00CA5A37" w:rsidP="00CA5A37">
      <w:pPr>
        <w:pStyle w:val="BodyTextLeftJustify"/>
      </w:pPr>
      <w:r w:rsidRPr="00EE38DB">
        <w:t xml:space="preserve">M&amp;O Transition </w:t>
      </w:r>
      <w:r>
        <w:t>Management planning</w:t>
      </w:r>
      <w:r w:rsidRPr="00EE38DB">
        <w:t xml:space="preserve"> is initially performed during the Planning Process Phase; however</w:t>
      </w:r>
      <w:r>
        <w:t>,</w:t>
      </w:r>
      <w:r w:rsidRPr="00EE38DB">
        <w:t xml:space="preserve"> </w:t>
      </w:r>
      <w:r>
        <w:t xml:space="preserve">some of </w:t>
      </w:r>
      <w:r w:rsidRPr="00EE38DB">
        <w:t xml:space="preserve">the activities identified in the plan </w:t>
      </w:r>
      <w:r>
        <w:t xml:space="preserve">may </w:t>
      </w:r>
      <w:r w:rsidRPr="00EE38DB">
        <w:t xml:space="preserve">take place throughout the lifecycle of the </w:t>
      </w:r>
      <w:r w:rsidRPr="00EE38DB">
        <w:lastRenderedPageBreak/>
        <w:t>project and mainly during project implementation and closeout</w:t>
      </w:r>
      <w:r>
        <w:t xml:space="preserve"> process phases</w:t>
      </w:r>
      <w:r w:rsidRPr="00EE38DB">
        <w:t>, until all remaining</w:t>
      </w:r>
      <w:r>
        <w:t xml:space="preserve"> M&amp;O tasks have been completed.</w:t>
      </w:r>
    </w:p>
    <w:p w:rsidR="00CA5A37" w:rsidRDefault="00CA5A37" w:rsidP="00CA5A37">
      <w:pPr>
        <w:pStyle w:val="BodyTextLeftJustify"/>
      </w:pP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a schedule for transition management planning activities.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the transition planning roles and responsibilities.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the risks to successful transition.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Stakeholder support and organizational readiness.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Stakeholder communication and training requirements.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planned product delivery including the rollout plan, data migration, testing and installation, defect reporting, rollback procedure.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Maintenance Roles and Responsibilities.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deliverables (product and/or service) governance and management approach.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required facilities, infrastructure, hardware and software required for ongoing support of deliverables.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the configuration management and release process the maintenance team will use.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problem resolution procedures.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lastRenderedPageBreak/>
        <w:t>Determine ongoing support costs.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maintenance team activation triggers.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post rollout training.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performance measures and reporting SLA’s.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business value measurements and metrics.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  <w:spacing w:after="240"/>
      </w:pPr>
      <w:r>
        <w:t>Determine total cost of ownership.</w:t>
      </w:r>
    </w:p>
    <w:p w:rsidR="00CA5A37" w:rsidRDefault="00CA5A37" w:rsidP="00CA5A37">
      <w:pPr>
        <w:pStyle w:val="BodyTextLeftJustify"/>
        <w:spacing w:after="240"/>
        <w:ind w:left="720"/>
      </w:pPr>
      <w:r>
        <w:t>[Insert process and activities.]</w:t>
      </w:r>
    </w:p>
    <w:p w:rsidR="00CA5A37" w:rsidRDefault="00CA5A37" w:rsidP="00CA5A37">
      <w:pPr>
        <w:pStyle w:val="BodyTextLeftJustify"/>
        <w:numPr>
          <w:ilvl w:val="0"/>
          <w:numId w:val="7"/>
        </w:numPr>
      </w:pPr>
      <w:r>
        <w:t>Determine where the M&amp;O Transition Planning information will be stored (repository).</w:t>
      </w:r>
    </w:p>
    <w:p w:rsidR="00CA5A37" w:rsidRDefault="00CA5A37" w:rsidP="00CA5A37">
      <w:pPr>
        <w:pStyle w:val="BodyTextLeftJustify"/>
        <w:ind w:left="720"/>
      </w:pPr>
    </w:p>
    <w:p w:rsidR="00CA5A37" w:rsidRDefault="00CA5A37" w:rsidP="00E95EE6">
      <w:pPr>
        <w:pStyle w:val="BodyTextLeftJustify"/>
        <w:spacing w:after="240"/>
        <w:ind w:left="720"/>
      </w:pPr>
      <w:r>
        <w:t>[Insert process and activities.]</w:t>
      </w:r>
    </w:p>
    <w:p w:rsidR="00CA5A37" w:rsidRPr="00303817" w:rsidRDefault="00CA5A37" w:rsidP="00CA5A37">
      <w:pPr>
        <w:pStyle w:val="Heading1"/>
      </w:pPr>
      <w:bookmarkStart w:id="10" w:name="_Toc474417724"/>
      <w:r>
        <w:t>Recommended Practices</w:t>
      </w:r>
      <w:bookmarkEnd w:id="10"/>
    </w:p>
    <w:p w:rsidR="00CA5A37" w:rsidRPr="00CA5A37" w:rsidRDefault="00CA5A37" w:rsidP="00CA5A37">
      <w:r>
        <w:rPr>
          <w:rFonts w:ascii="Calibri" w:eastAsia="Calibri" w:hAnsi="Calibri"/>
        </w:rPr>
        <w:t>[</w:t>
      </w:r>
      <w:r w:rsidRPr="00A7220B">
        <w:rPr>
          <w:rFonts w:ascii="Calibri" w:eastAsia="Calibri" w:hAnsi="Calibri"/>
        </w:rPr>
        <w:t>Identify</w:t>
      </w:r>
      <w:r>
        <w:rPr>
          <w:rFonts w:ascii="Calibri" w:eastAsia="Calibri" w:hAnsi="Calibri"/>
        </w:rPr>
        <w:t xml:space="preserve"> any additional recommended practices that may be specific to your project and organization.]</w:t>
      </w:r>
    </w:p>
    <w:p w:rsidR="00CA5A37" w:rsidRPr="0005428E" w:rsidRDefault="00CA5A37" w:rsidP="00CA5A37">
      <w:pPr>
        <w:spacing w:after="0"/>
        <w:contextualSpacing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Develop Early</w:t>
      </w:r>
    </w:p>
    <w:p w:rsidR="00CA5A37" w:rsidRPr="0005428E" w:rsidRDefault="00CA5A37" w:rsidP="00CA5A37">
      <w:pPr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 xml:space="preserve">Develop the initial M&amp;O Transition </w:t>
      </w:r>
      <w:r>
        <w:rPr>
          <w:rFonts w:ascii="Calibri" w:eastAsia="Calibri" w:hAnsi="Calibri"/>
        </w:rPr>
        <w:t xml:space="preserve">Management </w:t>
      </w:r>
      <w:r w:rsidRPr="0005428E">
        <w:rPr>
          <w:rFonts w:ascii="Calibri" w:eastAsia="Calibri" w:hAnsi="Calibri"/>
        </w:rPr>
        <w:t xml:space="preserve">Plan early during the Planning Process Phase of the project then update as more information becomes available throughout the </w:t>
      </w:r>
      <w:r>
        <w:rPr>
          <w:rFonts w:ascii="Calibri" w:eastAsia="Calibri" w:hAnsi="Calibri"/>
        </w:rPr>
        <w:t>Executing</w:t>
      </w:r>
      <w:r w:rsidRPr="0005428E">
        <w:rPr>
          <w:rFonts w:ascii="Calibri" w:eastAsia="Calibri" w:hAnsi="Calibri"/>
        </w:rPr>
        <w:t xml:space="preserve"> Process Phase.</w:t>
      </w:r>
    </w:p>
    <w:p w:rsidR="00CA5A37" w:rsidRPr="0005428E" w:rsidRDefault="00CA5A37" w:rsidP="00CA5A37">
      <w:pPr>
        <w:spacing w:after="0"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Assign Responsibility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 xml:space="preserve">Assign responsibility within the project team for stewardship of the M&amp;O Transition </w:t>
      </w:r>
      <w:r>
        <w:rPr>
          <w:rFonts w:ascii="Calibri" w:eastAsia="Calibri" w:hAnsi="Calibri"/>
        </w:rPr>
        <w:t>Management p</w:t>
      </w:r>
      <w:r w:rsidRPr="0005428E">
        <w:rPr>
          <w:rFonts w:ascii="Calibri" w:eastAsia="Calibri" w:hAnsi="Calibri"/>
        </w:rPr>
        <w:t>lanning process and management.</w:t>
      </w:r>
    </w:p>
    <w:p w:rsidR="00CA5A37" w:rsidRPr="0005428E" w:rsidRDefault="00CA5A37" w:rsidP="00CA5A37">
      <w:pPr>
        <w:spacing w:after="0"/>
        <w:rPr>
          <w:rFonts w:ascii="Calibri" w:eastAsia="Calibri" w:hAnsi="Calibri"/>
        </w:rPr>
      </w:pPr>
      <w:r w:rsidRPr="0005428E">
        <w:rPr>
          <w:rFonts w:ascii="Calibri" w:eastAsia="Calibri" w:hAnsi="Calibri"/>
          <w:b/>
        </w:rPr>
        <w:t>Document Risks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>Document all identified risks and issues related to suc</w:t>
      </w:r>
      <w:r>
        <w:rPr>
          <w:rFonts w:ascii="Calibri" w:eastAsia="Calibri" w:hAnsi="Calibri"/>
        </w:rPr>
        <w:t>cessfully transitioning to M&amp;O.</w:t>
      </w:r>
    </w:p>
    <w:p w:rsidR="00CA5A37" w:rsidRPr="0005428E" w:rsidRDefault="00CA5A37" w:rsidP="00CA5A37">
      <w:pPr>
        <w:keepNext/>
        <w:keepLines/>
        <w:spacing w:after="0"/>
        <w:rPr>
          <w:rFonts w:ascii="Calibri" w:eastAsia="Calibri" w:hAnsi="Calibri"/>
        </w:rPr>
      </w:pPr>
      <w:r w:rsidRPr="0005428E">
        <w:rPr>
          <w:rFonts w:ascii="Calibri" w:eastAsia="Calibri" w:hAnsi="Calibri"/>
          <w:b/>
        </w:rPr>
        <w:t>Utilize Existing Artifacts</w:t>
      </w:r>
    </w:p>
    <w:p w:rsidR="00CA5A37" w:rsidRPr="0005428E" w:rsidRDefault="00CA5A37" w:rsidP="00CA5A37">
      <w:pPr>
        <w:keepNext/>
        <w:keepLines/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 xml:space="preserve">Utilize other existing project documents and artifacts, such as the Project Charter and the Stakeholder Register to assist with the M&amp;O Transition </w:t>
      </w:r>
      <w:r>
        <w:rPr>
          <w:rFonts w:ascii="Calibri" w:eastAsia="Calibri" w:hAnsi="Calibri"/>
        </w:rPr>
        <w:t xml:space="preserve">Management </w:t>
      </w:r>
      <w:r w:rsidRPr="0005428E">
        <w:rPr>
          <w:rFonts w:ascii="Calibri" w:eastAsia="Calibri" w:hAnsi="Calibri"/>
        </w:rPr>
        <w:t>Plan development.</w:t>
      </w:r>
    </w:p>
    <w:p w:rsidR="00CA5A37" w:rsidRPr="0005428E" w:rsidRDefault="00CA5A37" w:rsidP="00CA5A37">
      <w:pPr>
        <w:spacing w:after="0"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Include in Schedule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lastRenderedPageBreak/>
        <w:t xml:space="preserve">Include key M&amp;O Transition </w:t>
      </w:r>
      <w:r>
        <w:rPr>
          <w:rFonts w:ascii="Calibri" w:eastAsia="Calibri" w:hAnsi="Calibri"/>
        </w:rPr>
        <w:t xml:space="preserve">Management </w:t>
      </w:r>
      <w:r w:rsidRPr="0005428E">
        <w:rPr>
          <w:rFonts w:ascii="Calibri" w:eastAsia="Calibri" w:hAnsi="Calibri"/>
        </w:rPr>
        <w:t>Plan tasks and activities in the project schedule.</w:t>
      </w:r>
    </w:p>
    <w:p w:rsidR="00CA5A37" w:rsidRPr="0005428E" w:rsidRDefault="00CA5A37" w:rsidP="00CA5A37">
      <w:pPr>
        <w:spacing w:after="0"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Organization Readiness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>Conduct an Organizational Readiness exercise to measure the organization’s ability to embrace the change resulting from the deliverables.</w:t>
      </w:r>
    </w:p>
    <w:p w:rsidR="00CA5A37" w:rsidRPr="0005428E" w:rsidRDefault="00CA5A37" w:rsidP="00CA5A37">
      <w:pPr>
        <w:spacing w:after="0"/>
        <w:rPr>
          <w:rFonts w:ascii="Calibri" w:eastAsia="Calibri" w:hAnsi="Calibri"/>
        </w:rPr>
      </w:pPr>
      <w:r w:rsidRPr="0005428E">
        <w:rPr>
          <w:rFonts w:ascii="Calibri" w:eastAsia="Calibri" w:hAnsi="Calibri"/>
          <w:b/>
        </w:rPr>
        <w:t>Include Training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 xml:space="preserve">Include stakeholder/customer training activities in the M&amp;O Transition </w:t>
      </w:r>
      <w:r>
        <w:rPr>
          <w:rFonts w:ascii="Calibri" w:eastAsia="Calibri" w:hAnsi="Calibri"/>
        </w:rPr>
        <w:t xml:space="preserve">Management </w:t>
      </w:r>
      <w:r w:rsidRPr="0005428E">
        <w:rPr>
          <w:rFonts w:ascii="Calibri" w:eastAsia="Calibri" w:hAnsi="Calibri"/>
        </w:rPr>
        <w:t>Plan.</w:t>
      </w:r>
    </w:p>
    <w:p w:rsidR="00CA5A37" w:rsidRPr="0005428E" w:rsidRDefault="00CA5A37" w:rsidP="00CA5A37">
      <w:pPr>
        <w:spacing w:after="0"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Identify Roles and Responsibilities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>Identify roles and responsibilities associated with maintenance as well as the required skill set needed to perform those functions.</w:t>
      </w:r>
    </w:p>
    <w:p w:rsidR="00CA5A37" w:rsidRPr="0005428E" w:rsidRDefault="00CA5A37" w:rsidP="00CA5A37">
      <w:pPr>
        <w:spacing w:after="0"/>
        <w:rPr>
          <w:rFonts w:ascii="Calibri" w:eastAsia="Calibri" w:hAnsi="Calibri"/>
        </w:rPr>
      </w:pPr>
      <w:r w:rsidRPr="0005428E">
        <w:rPr>
          <w:rFonts w:ascii="Calibri" w:eastAsia="Calibri" w:hAnsi="Calibri"/>
          <w:b/>
        </w:rPr>
        <w:t>Determine Required Environment to Support Deliverables</w:t>
      </w:r>
    </w:p>
    <w:p w:rsidR="00CA5A37" w:rsidRPr="0005428E" w:rsidRDefault="00CA5A37" w:rsidP="00CA5A37">
      <w:pPr>
        <w:spacing w:after="200" w:line="276" w:lineRule="auto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>Determine the facilities, infrastructure, hardware and software that the maintenance team will require.</w:t>
      </w:r>
    </w:p>
    <w:p w:rsidR="00CA5A37" w:rsidRPr="0005428E" w:rsidRDefault="00CA5A37" w:rsidP="00CA5A37">
      <w:pPr>
        <w:spacing w:after="0"/>
        <w:rPr>
          <w:rFonts w:ascii="Calibri" w:eastAsia="Calibri" w:hAnsi="Calibri"/>
          <w:b/>
        </w:rPr>
      </w:pPr>
      <w:r w:rsidRPr="0005428E">
        <w:rPr>
          <w:rFonts w:ascii="Calibri" w:eastAsia="Calibri" w:hAnsi="Calibri"/>
          <w:b/>
        </w:rPr>
        <w:t>Determine Costs</w:t>
      </w:r>
    </w:p>
    <w:p w:rsidR="00CA5A37" w:rsidRPr="0005428E" w:rsidRDefault="00CA5A37" w:rsidP="00CA5A37">
      <w:pPr>
        <w:spacing w:after="0"/>
        <w:rPr>
          <w:rFonts w:ascii="Calibri" w:eastAsia="Calibri" w:hAnsi="Calibri"/>
        </w:rPr>
      </w:pPr>
      <w:r w:rsidRPr="0005428E">
        <w:rPr>
          <w:rFonts w:ascii="Calibri" w:eastAsia="Calibri" w:hAnsi="Calibri"/>
        </w:rPr>
        <w:t>Determine the budget/costs associated with ongoing support of the deliverables.</w:t>
      </w:r>
    </w:p>
    <w:p w:rsidR="00CA5A37" w:rsidRPr="00303817" w:rsidRDefault="00CA5A37" w:rsidP="00CA5A37">
      <w:pPr>
        <w:pStyle w:val="Heading1"/>
      </w:pPr>
      <w:bookmarkStart w:id="11" w:name="_Toc474417725"/>
      <w:r>
        <w:t>Completion Checklist</w:t>
      </w:r>
      <w:bookmarkEnd w:id="11"/>
    </w:p>
    <w:p w:rsidR="00CA5A37" w:rsidRPr="00CA5A37" w:rsidRDefault="006E5E89" w:rsidP="00CA5A37">
      <w:r w:rsidRPr="006E5E89">
        <w:rPr>
          <w:rFonts w:ascii="Calibri" w:eastAsia="Calibri" w:hAnsi="Calibri"/>
        </w:rPr>
        <w:t>[The following table should be populated with milestones for completing M&amp;O Transition Management.]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88"/>
        <w:gridCol w:w="1080"/>
        <w:gridCol w:w="1170"/>
        <w:gridCol w:w="3212"/>
      </w:tblGrid>
      <w:tr w:rsidR="00CA5A37" w:rsidRPr="0030427C" w:rsidTr="00CA5A37">
        <w:trPr>
          <w:trHeight w:val="432"/>
          <w:tblHeader/>
        </w:trPr>
        <w:tc>
          <w:tcPr>
            <w:tcW w:w="3888" w:type="dxa"/>
            <w:shd w:val="clear" w:color="auto" w:fill="1B4675"/>
            <w:vAlign w:val="center"/>
          </w:tcPr>
          <w:p w:rsidR="00CA5A37" w:rsidRPr="0030427C" w:rsidRDefault="00CA5A37" w:rsidP="0065085F">
            <w:pPr>
              <w:pStyle w:val="TableHeaderText"/>
            </w:pPr>
            <w:r>
              <w:t>Description</w:t>
            </w:r>
          </w:p>
        </w:tc>
        <w:tc>
          <w:tcPr>
            <w:tcW w:w="2250" w:type="dxa"/>
            <w:gridSpan w:val="2"/>
            <w:shd w:val="clear" w:color="auto" w:fill="1B4675"/>
            <w:vAlign w:val="center"/>
          </w:tcPr>
          <w:p w:rsidR="00CA5A37" w:rsidRPr="0030427C" w:rsidRDefault="00CA5A37" w:rsidP="00CA5A37">
            <w:pPr>
              <w:pStyle w:val="TableHeaderText"/>
            </w:pPr>
            <w:r>
              <w:t>Completed</w:t>
            </w:r>
            <w:r>
              <w:br/>
            </w:r>
            <w:r>
              <w:br/>
              <w:t>Yes            No</w:t>
            </w:r>
          </w:p>
        </w:tc>
        <w:tc>
          <w:tcPr>
            <w:tcW w:w="3212" w:type="dxa"/>
            <w:shd w:val="clear" w:color="auto" w:fill="1B4675"/>
            <w:vAlign w:val="center"/>
          </w:tcPr>
          <w:p w:rsidR="00CA5A37" w:rsidRPr="0030427C" w:rsidRDefault="00CA5A37" w:rsidP="0065085F">
            <w:pPr>
              <w:pStyle w:val="TableHeaderText"/>
            </w:pPr>
            <w:r>
              <w:t>Comments</w:t>
            </w:r>
          </w:p>
        </w:tc>
      </w:tr>
      <w:tr w:rsidR="00CA5A37" w:rsidRPr="006E5E89" w:rsidTr="00CA5A37">
        <w:trPr>
          <w:trHeight w:val="432"/>
        </w:trPr>
        <w:tc>
          <w:tcPr>
            <w:tcW w:w="3888" w:type="dxa"/>
          </w:tcPr>
          <w:p w:rsidR="00CA5A37" w:rsidRPr="006E5E89" w:rsidRDefault="00CA5A37" w:rsidP="0065085F"/>
        </w:tc>
        <w:tc>
          <w:tcPr>
            <w:tcW w:w="1080" w:type="dxa"/>
          </w:tcPr>
          <w:p w:rsidR="00CA5A37" w:rsidRPr="006E5E89" w:rsidRDefault="00CA5A37" w:rsidP="0065085F"/>
        </w:tc>
        <w:tc>
          <w:tcPr>
            <w:tcW w:w="1170" w:type="dxa"/>
          </w:tcPr>
          <w:p w:rsidR="00CA5A37" w:rsidRPr="006E5E89" w:rsidRDefault="00CA5A37" w:rsidP="0065085F"/>
        </w:tc>
        <w:tc>
          <w:tcPr>
            <w:tcW w:w="3212" w:type="dxa"/>
          </w:tcPr>
          <w:p w:rsidR="00CA5A37" w:rsidRPr="006E5E89" w:rsidRDefault="00CA5A37" w:rsidP="0065085F"/>
        </w:tc>
      </w:tr>
      <w:tr w:rsidR="00CA5A37" w:rsidRPr="006E5E89" w:rsidTr="00CA5A37">
        <w:trPr>
          <w:trHeight w:val="432"/>
        </w:trPr>
        <w:tc>
          <w:tcPr>
            <w:tcW w:w="3888" w:type="dxa"/>
          </w:tcPr>
          <w:p w:rsidR="00CA5A37" w:rsidRPr="006E5E89" w:rsidRDefault="00CA5A37" w:rsidP="0065085F"/>
        </w:tc>
        <w:tc>
          <w:tcPr>
            <w:tcW w:w="1080" w:type="dxa"/>
          </w:tcPr>
          <w:p w:rsidR="00CA5A37" w:rsidRPr="006E5E89" w:rsidRDefault="00CA5A37" w:rsidP="0065085F"/>
        </w:tc>
        <w:tc>
          <w:tcPr>
            <w:tcW w:w="1170" w:type="dxa"/>
          </w:tcPr>
          <w:p w:rsidR="00CA5A37" w:rsidRPr="006E5E89" w:rsidRDefault="00CA5A37" w:rsidP="0065085F"/>
        </w:tc>
        <w:tc>
          <w:tcPr>
            <w:tcW w:w="3212" w:type="dxa"/>
          </w:tcPr>
          <w:p w:rsidR="00CA5A37" w:rsidRPr="006E5E89" w:rsidRDefault="00CA5A37" w:rsidP="0065085F"/>
        </w:tc>
      </w:tr>
      <w:tr w:rsidR="00CA5A37" w:rsidRPr="006E5E89" w:rsidTr="00CA5A37">
        <w:trPr>
          <w:trHeight w:val="432"/>
        </w:trPr>
        <w:tc>
          <w:tcPr>
            <w:tcW w:w="3888" w:type="dxa"/>
          </w:tcPr>
          <w:p w:rsidR="00CA5A37" w:rsidRPr="006E5E89" w:rsidRDefault="00CA5A37" w:rsidP="0065085F"/>
        </w:tc>
        <w:tc>
          <w:tcPr>
            <w:tcW w:w="1080" w:type="dxa"/>
          </w:tcPr>
          <w:p w:rsidR="00CA5A37" w:rsidRPr="006E5E89" w:rsidRDefault="00CA5A37" w:rsidP="0065085F"/>
        </w:tc>
        <w:tc>
          <w:tcPr>
            <w:tcW w:w="1170" w:type="dxa"/>
          </w:tcPr>
          <w:p w:rsidR="00CA5A37" w:rsidRPr="006E5E89" w:rsidRDefault="00CA5A37" w:rsidP="0065085F"/>
        </w:tc>
        <w:tc>
          <w:tcPr>
            <w:tcW w:w="3212" w:type="dxa"/>
          </w:tcPr>
          <w:p w:rsidR="00CA5A37" w:rsidRPr="006E5E89" w:rsidRDefault="00CA5A37" w:rsidP="0065085F"/>
        </w:tc>
      </w:tr>
      <w:bookmarkEnd w:id="8"/>
      <w:bookmarkEnd w:id="9"/>
    </w:tbl>
    <w:p w:rsidR="00CA5A37" w:rsidRDefault="00CA5A37" w:rsidP="008A6EF0"/>
    <w:sectPr w:rsidR="00CA5A37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84" w:rsidRDefault="00CA1C84" w:rsidP="00C862E7">
      <w:pPr>
        <w:spacing w:after="0" w:line="240" w:lineRule="auto"/>
      </w:pPr>
      <w:r>
        <w:separator/>
      </w:r>
    </w:p>
  </w:endnote>
  <w:endnote w:type="continuationSeparator" w:id="0">
    <w:p w:rsidR="00CA1C84" w:rsidRDefault="00CA1C84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D2" w:rsidRDefault="00FE6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E04B15" w:rsidP="00572498">
    <w:pPr>
      <w:pStyle w:val="Footer"/>
      <w:jc w:val="right"/>
    </w:pPr>
    <w:r>
      <w:rPr>
        <w:b/>
      </w:rPr>
      <w:t>M&amp;O Transition Management</w:t>
    </w:r>
    <w:r w:rsidR="00572498" w:rsidRPr="00572498">
      <w:rPr>
        <w:b/>
      </w:rPr>
      <w:t xml:space="preserve"> Plan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E95EE6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84" w:rsidRDefault="00CA1C84" w:rsidP="00C862E7">
      <w:pPr>
        <w:spacing w:after="0" w:line="240" w:lineRule="auto"/>
      </w:pPr>
      <w:r>
        <w:separator/>
      </w:r>
    </w:p>
  </w:footnote>
  <w:footnote w:type="continuationSeparator" w:id="0">
    <w:p w:rsidR="00CA1C84" w:rsidRDefault="00CA1C84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D2" w:rsidRDefault="00FE6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5A5B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89E74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7054B4"/>
    <w:multiLevelType w:val="hybridMultilevel"/>
    <w:tmpl w:val="C9B0F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B92D05"/>
    <w:multiLevelType w:val="hybridMultilevel"/>
    <w:tmpl w:val="060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CF036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15593D"/>
    <w:rsid w:val="001C36BB"/>
    <w:rsid w:val="00314ED3"/>
    <w:rsid w:val="003F148A"/>
    <w:rsid w:val="00407DBB"/>
    <w:rsid w:val="00572498"/>
    <w:rsid w:val="005D194C"/>
    <w:rsid w:val="006E5E89"/>
    <w:rsid w:val="008A0DD3"/>
    <w:rsid w:val="008A6EF0"/>
    <w:rsid w:val="009E52BE"/>
    <w:rsid w:val="00A54EB8"/>
    <w:rsid w:val="00BB59FC"/>
    <w:rsid w:val="00BC22E9"/>
    <w:rsid w:val="00C862E7"/>
    <w:rsid w:val="00CA1C84"/>
    <w:rsid w:val="00CA5A37"/>
    <w:rsid w:val="00CC330D"/>
    <w:rsid w:val="00CF515E"/>
    <w:rsid w:val="00DE512F"/>
    <w:rsid w:val="00E04B15"/>
    <w:rsid w:val="00E95EE6"/>
    <w:rsid w:val="00EA61CC"/>
    <w:rsid w:val="00F32F91"/>
    <w:rsid w:val="00F831CE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Bullet1">
    <w:name w:val="Body Text Bullet 1"/>
    <w:basedOn w:val="Normal"/>
    <w:next w:val="BodyTextLeftJustify"/>
    <w:autoRedefine/>
    <w:qFormat/>
    <w:rsid w:val="00E04B15"/>
    <w:pPr>
      <w:numPr>
        <w:numId w:val="5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LeftJustify">
    <w:name w:val="Body Text Left Justify"/>
    <w:basedOn w:val="Normal"/>
    <w:autoRedefine/>
    <w:qFormat/>
    <w:rsid w:val="00E04B15"/>
    <w:pPr>
      <w:tabs>
        <w:tab w:val="left" w:pos="0"/>
      </w:tabs>
      <w:spacing w:after="0" w:line="240" w:lineRule="auto"/>
    </w:pPr>
    <w:rPr>
      <w:rFonts w:ascii="Calibri" w:eastAsia="Calibri" w:hAnsi="Calibri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BC70-D8A6-4431-AB7B-3AEA2D70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5181</Characters>
  <Application>Microsoft Office Word</Application>
  <DocSecurity>0</DocSecurity>
  <Lines>431</Lines>
  <Paragraphs>244</Paragraphs>
  <ScaleCrop>false</ScaleCrop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2016-04-28T16:54:00Z</dcterms:created>
  <dcterms:modified xsi:type="dcterms:W3CDTF">2017-02-09T23:33:00Z</dcterms:modified>
</cp:coreProperties>
</file>